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2279"/>
        <w:gridCol w:w="251"/>
        <w:gridCol w:w="824"/>
        <w:gridCol w:w="1755"/>
        <w:gridCol w:w="4497"/>
      </w:tblGrid>
      <w:tr w:rsidR="005B60C4" w:rsidTr="005B60C4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5B60C4" w:rsidTr="005B60C4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5B60C4" w:rsidRDefault="00104383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Зленко Людмила Александровна</w:t>
            </w:r>
          </w:p>
        </w:tc>
      </w:tr>
      <w:tr w:rsidR="005B60C4" w:rsidTr="005B60C4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5B60C4" w:rsidTr="005B60C4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 Киселёвск</w:t>
            </w:r>
          </w:p>
        </w:tc>
      </w:tr>
      <w:tr w:rsidR="005B60C4" w:rsidTr="005B60C4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 и/или название 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5B60C4" w:rsidRDefault="005B60C4" w:rsidP="00104383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 «ООШ №2</w:t>
            </w:r>
            <w:r w:rsidR="0010438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5B60C4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5B60C4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5B60C4" w:rsidRDefault="00104383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Чем нам могут помочь скороговорки?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5B60C4" w:rsidRPr="001F2A09" w:rsidTr="005B60C4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B60C4" w:rsidRDefault="005B60C4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В проекте предполагаются следующие виды деятельности. </w:t>
            </w:r>
            <w:proofErr w:type="gramStart"/>
            <w:r>
              <w:t xml:space="preserve">Учащиеся будут: осознавать проблему проекта как личную проблему; придумывать в сотрудничестве, какой продукт поможет им разрешить эту их проблему и как его создать; составлять план деятельности по решению проблемы; искать необходимую информацию в печатных и Интернет-источниках; проводить плодотворные обсуждения; создавать материальный продукт -  создавать электронные продукты. </w:t>
            </w:r>
            <w:proofErr w:type="gramEnd"/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Конечным продуктом деятельности участников проекта будет проведение спектакля «Муха-цокотуха» для учащихся 1 классов. Электронным отображением данного материального продукта будут электронные продукты: </w:t>
            </w:r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1. Презентация "Как мы ходили в театр", о том, как проходило в проекте обсуждение этой проблемы и как участники проекта готовились к работе над спектаклем. </w:t>
            </w:r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2. Презентация "Как мы встречались с логопедом" о том, как можно решить проблемы с произношением </w:t>
            </w:r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3. « Альбом любимых скороговорок», где учащиеся нарисовали свои любимые скороговорки </w:t>
            </w:r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4. Фоторепортаж спектакля "Муха - цокотуха" </w:t>
            </w:r>
          </w:p>
          <w:p w:rsidR="002A29B7" w:rsidRDefault="002A29B7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5. "Книжка - малышка", где участники проекта поделятся своими мыслями о про</w:t>
            </w:r>
            <w:r>
              <w:t>е</w:t>
            </w:r>
            <w:r>
              <w:t>кте и предложат другим учащимся способы работы над дикцией.</w:t>
            </w:r>
            <w:r>
              <w:t xml:space="preserve"> </w:t>
            </w:r>
          </w:p>
          <w:p w:rsidR="005B60C4" w:rsidRDefault="005B60C4" w:rsidP="002A29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Работа над проектом, самостоятельно проводимая детьми, поможет им развивать логическое мышление, отстаивать свою точку зрения, систематизировать и обобщать материал, работать с информацией, работать в команде, ставить и решать проблемы, анализировать и оценивать свою работу и вклад других участников. Также в процессе работы над проектом участники будут развивать коммуникативные умения, широкие познавательные интересы, инициативу и любознательность. </w:t>
            </w:r>
          </w:p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5B60C4" w:rsidRPr="001F2A09" w:rsidTr="005B60C4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5B60C4" w:rsidRDefault="003E013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E013B">
              <w:rPr>
                <w:rFonts w:ascii="Times New Roman" w:hAnsi="Times New Roman" w:cs="Times New Roman"/>
                <w:i/>
                <w:iCs/>
              </w:rPr>
              <w:t>Учебный проект интегрированный, включает предметы литературное чтение, изобразительное искусство, обучение грамоте и информатику.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5B60C4" w:rsidRPr="003E013B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5B60C4" w:rsidRDefault="003E013B" w:rsidP="003E013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Для учеников 1 класса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4 недели 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Основа проекта</w:t>
            </w:r>
          </w:p>
        </w:tc>
      </w:tr>
      <w:tr w:rsidR="005B60C4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5B60C4" w:rsidRDefault="005B60C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B30377" w:rsidRPr="001F2A09" w:rsidTr="005B60C4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В соответствии со Стандартом на ступени начального общего образования в процессе реализации проекта осуществляется: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 w:rsidRPr="003A6DAA">
              <w:rPr>
                <w:rFonts w:ascii="Times New Roman" w:hAnsi="Times New Roman" w:cs="Times New Roman"/>
                <w:spacing w:val="5"/>
              </w:rPr>
              <w:t>о-</w:t>
            </w:r>
            <w:proofErr w:type="gramEnd"/>
            <w:r w:rsidRPr="003A6DAA">
              <w:rPr>
                <w:rFonts w:ascii="Times New Roman" w:hAnsi="Times New Roman" w:cs="Times New Roman"/>
                <w:spacing w:val="5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 xml:space="preserve">освоение обучающимися универсальными учебными действиями (познавательными, регулятивными и коммуникативными), обеспечивающими овладение ключевыми компетенциями, составляющими основу умения учиться, и </w:t>
            </w:r>
            <w:proofErr w:type="spellStart"/>
            <w:r w:rsidRPr="003A6DAA">
              <w:rPr>
                <w:rFonts w:ascii="Times New Roman" w:hAnsi="Times New Roman" w:cs="Times New Roman"/>
                <w:spacing w:val="5"/>
              </w:rPr>
              <w:t>межпредметными</w:t>
            </w:r>
            <w:proofErr w:type="spellEnd"/>
            <w:r w:rsidRPr="003A6DAA">
              <w:rPr>
                <w:rFonts w:ascii="Times New Roman" w:hAnsi="Times New Roman" w:cs="Times New Roman"/>
                <w:spacing w:val="5"/>
              </w:rPr>
              <w:t xml:space="preserve"> понятиями.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Предметные результаты освоения проектной работы с учетом специфики содержания предметных областей, включенных в проект, отражают: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1)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B30377" w:rsidRPr="00327A38" w:rsidRDefault="00B30377" w:rsidP="006C2D76">
            <w:pPr>
              <w:rPr>
                <w:lang w:val="ru-RU"/>
              </w:rPr>
            </w:pPr>
            <w:r w:rsidRPr="00327A38">
              <w:rPr>
                <w:spacing w:val="5"/>
                <w:lang w:val="ru-RU"/>
              </w:rPr>
              <w:t>2)</w:t>
            </w:r>
            <w:r w:rsidRPr="00327A38">
              <w:rPr>
                <w:spacing w:val="5"/>
                <w:lang w:val="ru-RU"/>
              </w:rPr>
              <w:tab/>
            </w:r>
            <w:r w:rsidRPr="00327A38">
              <w:rPr>
                <w:lang w:val="ru-RU"/>
              </w:rPr>
              <w:t>обогащения</w:t>
            </w:r>
            <w:r>
              <w:rPr>
                <w:lang w:val="ru-RU"/>
              </w:rPr>
              <w:t xml:space="preserve"> </w:t>
            </w:r>
            <w:r w:rsidRPr="00327A38">
              <w:rPr>
                <w:lang w:val="ru-RU"/>
              </w:rPr>
              <w:t xml:space="preserve"> жизненного опыта, решения практических задач с помощью наблюдения, измерения, сравнения;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3)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4)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5)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B30377" w:rsidRPr="003A6DAA" w:rsidRDefault="00B30377" w:rsidP="006C2D76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6)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30377" w:rsidRPr="001F2A09" w:rsidTr="005B60C4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D6CB9" w:rsidRPr="003A6DAA" w:rsidRDefault="002D6CB9" w:rsidP="002D6CB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В результате реализации проекта обучающиеся получат возможность совершенствовать и расширять круг умений, навыков и способов деятельности, необходимых человеку в 21 веке знаний, умений и качеств, что является условием развития и социализации школьников. Работа учащихся в рамках проекта направлен</w:t>
            </w:r>
            <w:r>
              <w:rPr>
                <w:rFonts w:ascii="Times New Roman" w:hAnsi="Times New Roman" w:cs="Times New Roman"/>
                <w:spacing w:val="5"/>
              </w:rPr>
              <w:t>а на достижение следующих целей</w:t>
            </w:r>
            <w:r w:rsidRPr="003A6DAA">
              <w:rPr>
                <w:rFonts w:ascii="Times New Roman" w:hAnsi="Times New Roman" w:cs="Times New Roman"/>
                <w:spacing w:val="5"/>
              </w:rPr>
              <w:t xml:space="preserve">: 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>формирование компетентностей в сфере самостоятельной  познавательной деятельности;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</w:pPr>
            <w:proofErr w:type="spellStart"/>
            <w:r w:rsidRPr="002D6CB9">
              <w:lastRenderedPageBreak/>
              <w:t>приобретение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навыков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самостоятельной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работы</w:t>
            </w:r>
            <w:proofErr w:type="spellEnd"/>
            <w:r w:rsidRPr="002D6CB9">
              <w:t>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>развитие умения видеть проблему и наметить пути ее решения;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>формировать навыки работы в команде;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 xml:space="preserve">формирование информационной и коммуникативной компетентности учащихся; 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</w:pPr>
            <w:proofErr w:type="spellStart"/>
            <w:proofErr w:type="gramStart"/>
            <w:r w:rsidRPr="002D6CB9">
              <w:t>расширение</w:t>
            </w:r>
            <w:proofErr w:type="spellEnd"/>
            <w:proofErr w:type="gramEnd"/>
            <w:r w:rsidRPr="002D6CB9">
              <w:t xml:space="preserve"> </w:t>
            </w:r>
            <w:proofErr w:type="spellStart"/>
            <w:r w:rsidRPr="002D6CB9">
              <w:t>знаний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учащихся</w:t>
            </w:r>
            <w:proofErr w:type="spellEnd"/>
            <w:r w:rsidRPr="002D6CB9">
              <w:t>…..;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</w:pPr>
            <w:proofErr w:type="spellStart"/>
            <w:proofErr w:type="gramStart"/>
            <w:r w:rsidRPr="002D6CB9">
              <w:t>развитие</w:t>
            </w:r>
            <w:proofErr w:type="spellEnd"/>
            <w:proofErr w:type="gramEnd"/>
            <w:r w:rsidRPr="002D6CB9">
              <w:t xml:space="preserve"> </w:t>
            </w:r>
            <w:proofErr w:type="spellStart"/>
            <w:r w:rsidRPr="002D6CB9">
              <w:t>умения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преодолевать</w:t>
            </w:r>
            <w:proofErr w:type="spellEnd"/>
            <w:r w:rsidRPr="002D6CB9">
              <w:t xml:space="preserve"> </w:t>
            </w:r>
            <w:proofErr w:type="spellStart"/>
            <w:r w:rsidRPr="002D6CB9">
              <w:t>трудности</w:t>
            </w:r>
            <w:proofErr w:type="spellEnd"/>
            <w:r w:rsidRPr="002D6CB9">
              <w:t>.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>развивать навыки практического использования приобретенных знаний и умений в практической деятельности и повседневной жизни;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iCs/>
                <w:lang w:val="ru-RU"/>
              </w:rPr>
            </w:pPr>
            <w:r w:rsidRPr="002D6CB9">
              <w:rPr>
                <w:lang w:val="ru-RU"/>
              </w:rPr>
              <w:t xml:space="preserve">приобретение навыков </w:t>
            </w:r>
            <w:r w:rsidRPr="002D6CB9">
              <w:rPr>
                <w:iCs/>
                <w:lang w:val="ru-RU"/>
              </w:rPr>
              <w:t>самостоятельного качественного исследования проблемы;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jc w:val="both"/>
              <w:rPr>
                <w:iCs/>
                <w:lang w:val="ru-RU"/>
              </w:rPr>
            </w:pPr>
            <w:r w:rsidRPr="002D6CB9">
              <w:rPr>
                <w:lang w:val="ru-RU"/>
              </w:rPr>
              <w:t xml:space="preserve">приобретение навыков </w:t>
            </w:r>
            <w:r w:rsidRPr="002D6CB9">
              <w:rPr>
                <w:iCs/>
                <w:lang w:val="ru-RU"/>
              </w:rPr>
              <w:t>образного творческого мышления;</w:t>
            </w:r>
          </w:p>
          <w:p w:rsidR="00B30377" w:rsidRPr="002D6CB9" w:rsidRDefault="00B30377" w:rsidP="003E013B">
            <w:pPr>
              <w:numPr>
                <w:ilvl w:val="0"/>
                <w:numId w:val="2"/>
              </w:numPr>
              <w:suppressAutoHyphens/>
              <w:jc w:val="both"/>
              <w:rPr>
                <w:lang w:val="ru-RU"/>
              </w:rPr>
            </w:pPr>
            <w:r w:rsidRPr="002D6CB9">
              <w:rPr>
                <w:lang w:val="ru-RU"/>
              </w:rPr>
              <w:t>развивать умение наблюдать и анализировать, выделять существенные признаки и на их основе делать выводы.</w:t>
            </w:r>
          </w:p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30377" w:rsidRPr="00B30377" w:rsidRDefault="00B30377" w:rsidP="00104383">
            <w:pPr>
              <w:pStyle w:val="a3"/>
              <w:shd w:val="clear" w:color="auto" w:fill="FFFFFF"/>
            </w:pPr>
            <w:r w:rsidRPr="00B30377">
              <w:t>Как сказать, чтобы тебя услышали и поняли?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 Можно ли увидеть звуки? </w:t>
            </w:r>
          </w:p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Для чего нужна речь? </w:t>
            </w:r>
          </w:p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Почему мы говорим по-разному? </w:t>
            </w:r>
          </w:p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Зачем нам нужно правильно говорить? </w:t>
            </w:r>
          </w:p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Могут ли нам помочь скороговорки? </w:t>
            </w:r>
          </w:p>
          <w:p w:rsidR="00B30377" w:rsidRDefault="00B30377" w:rsidP="003E013B">
            <w:pPr>
              <w:pStyle w:val="a3"/>
              <w:shd w:val="clear" w:color="auto" w:fill="FFFFFF"/>
            </w:pPr>
            <w:r>
              <w:t xml:space="preserve">Легко ли научиться </w:t>
            </w:r>
            <w:proofErr w:type="gramStart"/>
            <w:r>
              <w:t>правильно</w:t>
            </w:r>
            <w:proofErr w:type="gramEnd"/>
            <w:r>
              <w:t xml:space="preserve"> говорить? </w:t>
            </w:r>
          </w:p>
          <w:p w:rsidR="00B30377" w:rsidRDefault="00B30377" w:rsidP="003E013B">
            <w:pPr>
              <w:pStyle w:val="a3"/>
              <w:shd w:val="clear" w:color="auto" w:fill="FFFFFF"/>
              <w:rPr>
                <w:i/>
              </w:rPr>
            </w:pPr>
            <w:r>
              <w:t>Можем ли мы научить других детей говорить правильно?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Что такое скороговорка?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-Какие бывают скороговорки?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-Как объясняется значение слова скороговорка и </w:t>
            </w:r>
            <w:proofErr w:type="spellStart"/>
            <w:r w:rsidRPr="00B30377">
              <w:t>чистоговорка</w:t>
            </w:r>
            <w:proofErr w:type="spellEnd"/>
            <w:r w:rsidRPr="00B30377">
              <w:t xml:space="preserve"> в толковом словаре?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-А как научиться </w:t>
            </w:r>
            <w:proofErr w:type="spellStart"/>
            <w:r w:rsidRPr="00B30377">
              <w:t>скороговорению</w:t>
            </w:r>
            <w:proofErr w:type="spellEnd"/>
            <w:r w:rsidRPr="00B30377">
              <w:t xml:space="preserve">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 Можно ли нарисовать скороговорку?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-Кто такие логопеды?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-Есть ли скороговорки у других народов? </w:t>
            </w:r>
          </w:p>
          <w:p w:rsidR="00B30377" w:rsidRPr="00B30377" w:rsidRDefault="00B30377" w:rsidP="003E013B">
            <w:pPr>
              <w:pStyle w:val="a3"/>
              <w:shd w:val="clear" w:color="auto" w:fill="FFFFFF"/>
            </w:pPr>
            <w:r w:rsidRPr="00B30377">
              <w:t xml:space="preserve">-Знают ли дети и взрослые скороговорки? </w:t>
            </w:r>
          </w:p>
          <w:p w:rsidR="00B30377" w:rsidRDefault="00B30377" w:rsidP="003E013B">
            <w:pPr>
              <w:pStyle w:val="a3"/>
              <w:shd w:val="clear" w:color="auto" w:fill="FFFFFF"/>
              <w:rPr>
                <w:i/>
              </w:rPr>
            </w:pPr>
            <w:r w:rsidRPr="00B30377">
              <w:t>-Какие звуки чаще всего отрабатываются в скороговорках?</w:t>
            </w: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B30377" w:rsidRPr="001F2A09" w:rsidTr="005B60C4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30377" w:rsidRPr="001F2A09" w:rsidTr="005B60C4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 w:rsidP="00C23022">
            <w:pPr>
              <w:numPr>
                <w:ilvl w:val="0"/>
                <w:numId w:val="1"/>
              </w:num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szCs w:val="20"/>
                <w:lang w:val="ru-RU"/>
              </w:rPr>
              <w:t xml:space="preserve">Актуализация знаний учащихся по теме проекта (работа со стартовой презентацией). 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>1. Работа с литературными источниками</w:t>
            </w:r>
          </w:p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2. Сбор материала </w:t>
            </w:r>
            <w:r w:rsidR="00320BD8">
              <w:rPr>
                <w:spacing w:val="5"/>
                <w:lang w:val="ru-RU"/>
              </w:rPr>
              <w:t>для работы над скороговорками</w:t>
            </w:r>
            <w:r>
              <w:rPr>
                <w:spacing w:val="5"/>
                <w:lang w:val="ru-RU"/>
              </w:rPr>
              <w:t>.</w:t>
            </w:r>
          </w:p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3. </w:t>
            </w:r>
            <w:r w:rsidR="00320BD8">
              <w:rPr>
                <w:spacing w:val="5"/>
                <w:lang w:val="ru-RU"/>
              </w:rPr>
              <w:t>Работа над сценарием для  спектакля</w:t>
            </w:r>
            <w:r>
              <w:rPr>
                <w:spacing w:val="5"/>
                <w:lang w:val="ru-RU"/>
              </w:rPr>
              <w:t>.</w:t>
            </w:r>
          </w:p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>4. Разработка критериев оценивания презентации и каталога.</w:t>
            </w:r>
          </w:p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5. Обсуждение промежуточных итогов </w:t>
            </w:r>
          </w:p>
          <w:p w:rsidR="00B30377" w:rsidRDefault="00B30377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>6. Создание критериев оценивания.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1. Оценивание оформления </w:t>
            </w:r>
            <w:r w:rsidR="00320BD8">
              <w:rPr>
                <w:rFonts w:ascii="Times New Roman" w:hAnsi="Times New Roman" w:cs="Times New Roman"/>
                <w:color w:val="auto"/>
                <w:spacing w:val="5"/>
              </w:rPr>
              <w:t>альбома любимых скороговорок</w:t>
            </w:r>
          </w:p>
          <w:p w:rsidR="00B30377" w:rsidRDefault="00B30377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2.  Оценивание презентации «</w:t>
            </w:r>
            <w:r w:rsidR="00A24EDD">
              <w:rPr>
                <w:rFonts w:ascii="Times New Roman" w:hAnsi="Times New Roman" w:cs="Times New Roman"/>
                <w:color w:val="auto"/>
                <w:spacing w:val="5"/>
              </w:rPr>
              <w:t>Чем нам могут помочь скороговорки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?»</w:t>
            </w:r>
          </w:p>
          <w:p w:rsidR="00B30377" w:rsidRDefault="00B30377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3.Оценивание </w:t>
            </w:r>
            <w:r w:rsidR="00A24EDD">
              <w:rPr>
                <w:rFonts w:ascii="Times New Roman" w:hAnsi="Times New Roman" w:cs="Times New Roman"/>
                <w:color w:val="auto"/>
                <w:spacing w:val="5"/>
              </w:rPr>
              <w:t>альбома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«</w:t>
            </w:r>
            <w:r w:rsidR="00A24EDD">
              <w:rPr>
                <w:rFonts w:ascii="Times New Roman" w:hAnsi="Times New Roman" w:cs="Times New Roman"/>
                <w:color w:val="auto"/>
                <w:spacing w:val="5"/>
              </w:rPr>
              <w:t>Любимые скороговорки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»</w:t>
            </w:r>
          </w:p>
          <w:p w:rsidR="00B30377" w:rsidRDefault="00B30377">
            <w:pPr>
              <w:pStyle w:val="Default0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4.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ab/>
              <w:t>Оценивание ученика успешности своего участия в коллективной работе над проектом</w:t>
            </w: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B30377" w:rsidRPr="001F2A09" w:rsidTr="005B60C4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2D6CB9" w:rsidRPr="003A6DAA" w:rsidRDefault="002D6CB9" w:rsidP="002D6CB9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9D552C">
              <w:rPr>
                <w:b/>
                <w:lang w:val="ru-RU"/>
              </w:rPr>
              <w:t>Пояснение:</w:t>
            </w:r>
            <w:r w:rsidRPr="009D552C">
              <w:rPr>
                <w:lang w:val="ru-RU"/>
              </w:rPr>
              <w:t xml:space="preserve"> </w:t>
            </w:r>
            <w:r w:rsidRPr="003A6DAA">
              <w:rPr>
                <w:lang w:val="ru-RU"/>
              </w:rPr>
              <w:t xml:space="preserve"> </w:t>
            </w:r>
          </w:p>
          <w:p w:rsidR="002D6CB9" w:rsidRPr="003A6DAA" w:rsidRDefault="002D6CB9" w:rsidP="002D6CB9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3A6DAA">
              <w:rPr>
                <w:lang w:val="ru-RU"/>
              </w:rPr>
              <w:t>В начале проектной деятельности проводится актуализация знаний учащихся по теме проекта через обсуждение вопросов, посвященных теме проекта (стартовая презентация учителя), далее уча</w:t>
            </w:r>
            <w:r>
              <w:rPr>
                <w:lang w:val="ru-RU"/>
              </w:rPr>
              <w:t>щиеся определяют направления работы</w:t>
            </w:r>
            <w:r w:rsidRPr="003A6DAA">
              <w:rPr>
                <w:lang w:val="ru-RU"/>
              </w:rPr>
              <w:t>, и идет детальное обсуждение п</w:t>
            </w:r>
            <w:r>
              <w:rPr>
                <w:lang w:val="ru-RU"/>
              </w:rPr>
              <w:t>лана работы над каждым этапом проекта</w:t>
            </w:r>
            <w:r w:rsidRPr="003A6DAA">
              <w:rPr>
                <w:lang w:val="ru-RU"/>
              </w:rPr>
              <w:t>. Учитель знакомит учащих</w:t>
            </w:r>
            <w:r>
              <w:rPr>
                <w:lang w:val="ru-RU"/>
              </w:rPr>
              <w:t>ся с основными приемами работы на</w:t>
            </w:r>
            <w:r w:rsidRPr="003A6D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компьютере </w:t>
            </w:r>
            <w:r w:rsidRPr="003A6DAA">
              <w:rPr>
                <w:lang w:val="ru-RU"/>
              </w:rPr>
              <w:t>(дети получают первоначальные практические</w:t>
            </w:r>
            <w:r>
              <w:rPr>
                <w:lang w:val="ru-RU"/>
              </w:rPr>
              <w:t xml:space="preserve"> навыки работы с презентацией</w:t>
            </w:r>
            <w:r w:rsidRPr="003A6DAA">
              <w:rPr>
                <w:lang w:val="ru-RU"/>
              </w:rPr>
              <w:t>).</w:t>
            </w:r>
          </w:p>
          <w:p w:rsidR="002D6CB9" w:rsidRPr="003A6DAA" w:rsidRDefault="002D6CB9" w:rsidP="002D6CB9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3A6DAA">
              <w:rPr>
                <w:lang w:val="ru-RU"/>
              </w:rPr>
              <w:t xml:space="preserve">В ходе проекта учащиеся работают с литературными источниками, отбирая необходимый теоретический материал, отвечающий на возникающие в процессе реализации проекта вопросы. Составление критериев оценивания  на основе государственных стандартов и критерии оформления  </w:t>
            </w:r>
            <w:r>
              <w:rPr>
                <w:lang w:val="ru-RU"/>
              </w:rPr>
              <w:t>презентации и брошюры.</w:t>
            </w:r>
          </w:p>
          <w:p w:rsidR="00B30377" w:rsidRPr="002D6CB9" w:rsidRDefault="002D6CB9" w:rsidP="002D6CB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6CB9">
              <w:rPr>
                <w:rFonts w:ascii="Times New Roman" w:hAnsi="Times New Roman" w:cs="Times New Roman"/>
              </w:rPr>
              <w:t xml:space="preserve">После завершения проекта проводится </w:t>
            </w:r>
            <w:r>
              <w:rPr>
                <w:rFonts w:ascii="Times New Roman" w:hAnsi="Times New Roman" w:cs="Times New Roman"/>
              </w:rPr>
              <w:t>презентация «Альбома любимых скороговорок»,</w:t>
            </w:r>
            <w:r w:rsidRPr="002D6CB9">
              <w:rPr>
                <w:rFonts w:ascii="Times New Roman" w:hAnsi="Times New Roman" w:cs="Times New Roman"/>
              </w:rPr>
              <w:t xml:space="preserve"> созданн</w:t>
            </w:r>
            <w:r>
              <w:rPr>
                <w:rFonts w:ascii="Times New Roman" w:hAnsi="Times New Roman" w:cs="Times New Roman"/>
              </w:rPr>
              <w:t>ого</w:t>
            </w:r>
            <w:r w:rsidRPr="002D6CB9">
              <w:rPr>
                <w:rFonts w:ascii="Times New Roman" w:hAnsi="Times New Roman" w:cs="Times New Roman"/>
              </w:rPr>
              <w:t xml:space="preserve"> своими руками, для учеников 1классов. Презентация </w:t>
            </w:r>
            <w:r>
              <w:rPr>
                <w:rFonts w:ascii="Times New Roman" w:hAnsi="Times New Roman" w:cs="Times New Roman"/>
              </w:rPr>
              <w:t>фотоальбома и Книжки - малышки</w:t>
            </w:r>
            <w:r w:rsidRPr="002D6CB9">
              <w:rPr>
                <w:rFonts w:ascii="Times New Roman" w:hAnsi="Times New Roman" w:cs="Times New Roman"/>
              </w:rPr>
              <w:t xml:space="preserve"> «Как мы </w:t>
            </w:r>
            <w:r>
              <w:rPr>
                <w:rFonts w:ascii="Times New Roman" w:hAnsi="Times New Roman" w:cs="Times New Roman"/>
              </w:rPr>
              <w:t>участвовали в проекте</w:t>
            </w:r>
            <w:r w:rsidR="002A29B7">
              <w:rPr>
                <w:rFonts w:ascii="Times New Roman" w:hAnsi="Times New Roman" w:cs="Times New Roman"/>
              </w:rPr>
              <w:t>». Проведение спектакля «Муха - цокотуха»</w:t>
            </w:r>
            <w:bookmarkStart w:id="0" w:name="_GoBack"/>
            <w:bookmarkEnd w:id="0"/>
          </w:p>
        </w:tc>
      </w:tr>
      <w:tr w:rsidR="00B30377" w:rsidRP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B30377" w:rsidRP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u w:val="single"/>
                <w:lang w:val="ru-RU"/>
              </w:rPr>
              <w:t>Начальные знания:</w:t>
            </w:r>
            <w:r>
              <w:rPr>
                <w:lang w:val="ru-RU"/>
              </w:rPr>
              <w:t xml:space="preserve"> базовые знания школьного курса технологии и окружающего мира, знание основных правил поведения на экскурсии и правил техники безопасности при работе с ножницами, бумагой, картоном.</w:t>
            </w:r>
          </w:p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u w:val="single"/>
              </w:rPr>
              <w:t>Начальные умения и навыки:</w:t>
            </w:r>
            <w:r>
              <w:rPr>
                <w:rFonts w:ascii="Times New Roman" w:hAnsi="Times New Roman" w:cs="Times New Roman"/>
              </w:rPr>
              <w:t xml:space="preserve"> работа с различными источниками информации, умение осуществлять поиск информации в сети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владение основами компьютерной </w:t>
            </w:r>
            <w:r>
              <w:rPr>
                <w:rFonts w:ascii="Times New Roman" w:hAnsi="Times New Roman" w:cs="Times New Roman"/>
              </w:rPr>
              <w:lastRenderedPageBreak/>
              <w:t>грамотности, умение работать в группе</w:t>
            </w: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Учебные мероприятия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u w:val="single"/>
                <w:lang w:val="ru-RU"/>
              </w:rPr>
              <w:t>Вводное занятие:</w:t>
            </w:r>
            <w:r>
              <w:rPr>
                <w:lang w:val="ru-RU"/>
              </w:rPr>
              <w:t xml:space="preserve"> актуализация знаний учащихся по теме проекта, выявление у них необходимых начальных знаний, умений и навыков. Предварительное знакомство родителей и учителей с содержанием проекта (информационные буклеты для родителей)</w:t>
            </w:r>
          </w:p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</w:p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u w:val="single"/>
                <w:lang w:val="ru-RU"/>
              </w:rPr>
              <w:t>Предварительная подготовка к реализации проекта:</w:t>
            </w:r>
            <w:r>
              <w:rPr>
                <w:lang w:val="ru-RU"/>
              </w:rPr>
              <w:t xml:space="preserve"> совместное с учащимися составление четкого плана проекта (стартовая презентация).</w:t>
            </w:r>
          </w:p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u w:val="single"/>
                <w:lang w:val="ru-RU"/>
              </w:rPr>
              <w:t>Реализация проекта:</w:t>
            </w:r>
            <w:r>
              <w:rPr>
                <w:lang w:val="ru-RU"/>
              </w:rPr>
              <w:t xml:space="preserve"> работа согласно плану.</w:t>
            </w:r>
          </w:p>
          <w:p w:rsidR="00B30377" w:rsidRDefault="00B30377" w:rsidP="002D6CB9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u w:val="single"/>
                <w:lang w:val="ru-RU"/>
              </w:rPr>
              <w:t>Подведение итогов:</w:t>
            </w:r>
            <w:r>
              <w:rPr>
                <w:lang w:val="ru-RU"/>
              </w:rPr>
              <w:t xml:space="preserve"> создание </w:t>
            </w:r>
            <w:r w:rsidR="002D6CB9">
              <w:rPr>
                <w:lang w:val="ru-RU"/>
              </w:rPr>
              <w:t xml:space="preserve">альбома рисунков по скороговоркам, участие в спектакле </w:t>
            </w:r>
          </w:p>
        </w:tc>
      </w:tr>
      <w:tr w:rsidR="00B30377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1F2A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Ученик </w:t>
            </w:r>
            <w:r w:rsidR="00B30377">
              <w:rPr>
                <w:rFonts w:ascii="Times New Roman" w:hAnsi="Times New Roman" w:cs="Times New Roman"/>
              </w:rPr>
              <w:t xml:space="preserve">с проблемами усвоения учебного материала </w:t>
            </w:r>
            <w:r w:rsidR="00B30377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="00B3037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Каждый участник проекта  </w:t>
            </w:r>
            <w:r w:rsidR="00320BD8">
              <w:rPr>
                <w:lang w:val="ru-RU"/>
              </w:rPr>
              <w:t>выбирает любимую скороговорку, иллюстрирует ее</w:t>
            </w:r>
            <w:r>
              <w:rPr>
                <w:lang w:val="ru-RU"/>
              </w:rPr>
              <w:t>, поэтому каждый ребенок имеет возможность для самореализации: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- подбор </w:t>
            </w:r>
            <w:r w:rsidR="00320BD8">
              <w:rPr>
                <w:lang w:val="ru-RU"/>
              </w:rPr>
              <w:t>скороговорки и эскиза рисунка к ней</w:t>
            </w:r>
            <w:r>
              <w:rPr>
                <w:lang w:val="ru-RU"/>
              </w:rPr>
              <w:t>;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- выбор </w:t>
            </w:r>
            <w:r w:rsidR="00320BD8">
              <w:rPr>
                <w:lang w:val="ru-RU"/>
              </w:rPr>
              <w:t xml:space="preserve">роли </w:t>
            </w:r>
            <w:r>
              <w:rPr>
                <w:lang w:val="ru-RU"/>
              </w:rPr>
              <w:t xml:space="preserve"> для </w:t>
            </w:r>
            <w:r w:rsidR="00320BD8">
              <w:rPr>
                <w:lang w:val="ru-RU"/>
              </w:rPr>
              <w:t>спектакля</w:t>
            </w:r>
            <w:r>
              <w:rPr>
                <w:lang w:val="ru-RU"/>
              </w:rPr>
              <w:t xml:space="preserve">;  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- обработка литературных и Интернет – ресурсов;                    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>- компьютерная обработка и анализ результатов;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>- организация собственных выступлений;</w:t>
            </w:r>
          </w:p>
          <w:p w:rsidR="00B30377" w:rsidRDefault="00B30377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 xml:space="preserve">- техническая обработка результатов и представление их средствами компьютерных и </w:t>
            </w:r>
            <w:proofErr w:type="gramStart"/>
            <w:r>
              <w:rPr>
                <w:lang w:val="ru-RU"/>
              </w:rPr>
              <w:t>Интернет-технологий</w:t>
            </w:r>
            <w:proofErr w:type="gramEnd"/>
            <w:r>
              <w:rPr>
                <w:lang w:val="ru-RU"/>
              </w:rPr>
              <w:t>.</w:t>
            </w:r>
          </w:p>
          <w:p w:rsidR="00B30377" w:rsidRDefault="00B30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Одни попробовали себя в роли фотографа, другие научились рисовать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кто-то проявил организаторские способности.</w:t>
            </w:r>
          </w:p>
          <w:p w:rsidR="00B30377" w:rsidRDefault="00B30377">
            <w:pPr>
              <w:snapToGrid w:val="0"/>
              <w:spacing w:before="6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Самостоятельный выбор содержания и способов деятельности </w:t>
            </w:r>
          </w:p>
          <w:p w:rsidR="00B30377" w:rsidRDefault="00B30377">
            <w:pPr>
              <w:snapToGrid w:val="0"/>
              <w:spacing w:before="60"/>
              <w:rPr>
                <w:lang w:val="ru-RU"/>
              </w:rPr>
            </w:pPr>
            <w:r>
              <w:rPr>
                <w:lang w:val="ru-RU"/>
              </w:rPr>
              <w:t xml:space="preserve">способствует развитию эмоциональной сферы личности, способностей, склонностей, интересов школьников. Приходит понимание того, что, работая в группе, каждый отвечает не только за себя, но и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других.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30377" w:rsidRDefault="00B30377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Творческий подход к реализации проекта позволяет учащимся выйти за рамки школьной программы и проявить свои творческие способности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 видеомагнитофон,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-ы), принтер, цифровая камера, проекционная система.  </w:t>
            </w:r>
          </w:p>
        </w:tc>
      </w:tr>
      <w:tr w:rsidR="00B30377" w:rsidRPr="001F2A09" w:rsidTr="005B60C4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B30377" w:rsidRPr="001F2A09" w:rsidTr="005B60C4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30377" w:rsidRDefault="002D6CB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>жений, программы разработки веб-</w:t>
            </w:r>
            <w:r w:rsidRPr="0099753E">
              <w:rPr>
                <w:rFonts w:ascii="Times New Roman" w:hAnsi="Times New Roman" w:cs="Times New Roman"/>
                <w:color w:val="auto"/>
              </w:rPr>
              <w:t>сайтов, настольная издательская система, 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электронной почты, мультимедийные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B30377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Принадлежности, которые необходимо заказать или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подготовить для использования в учебном проекте и которые характерны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для курса обучения. Не включайте сюда обыденные материалы, которые можно встретить в каждом классе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Список веб-адресов,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для проведения проекта</w:t>
            </w:r>
          </w:p>
        </w:tc>
      </w:tr>
      <w:tr w:rsidR="00B30377" w:rsidRPr="001F2A09" w:rsidTr="005B60C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B30377" w:rsidRDefault="00B3037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30377" w:rsidRDefault="00B30377" w:rsidP="001F2A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Пригласить логопеда, руководителя театральной студии. Организация занятия с логопедом и руководителем студии</w:t>
            </w:r>
            <w:r w:rsidR="001F2A0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C75D49" w:rsidRPr="005B60C4" w:rsidRDefault="002A29B7">
      <w:pPr>
        <w:rPr>
          <w:lang w:val="ru-RU"/>
        </w:rPr>
      </w:pPr>
    </w:p>
    <w:sectPr w:rsidR="00C75D49" w:rsidRPr="005B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DFA"/>
    <w:multiLevelType w:val="hybridMultilevel"/>
    <w:tmpl w:val="90C8BB9A"/>
    <w:lvl w:ilvl="0" w:tplc="232CB98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C3C92"/>
    <w:multiLevelType w:val="hybridMultilevel"/>
    <w:tmpl w:val="9DDA1BF6"/>
    <w:lvl w:ilvl="0" w:tplc="3EA2390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4"/>
    <w:rsid w:val="00104383"/>
    <w:rsid w:val="001F2A09"/>
    <w:rsid w:val="002A29B7"/>
    <w:rsid w:val="002D6CB9"/>
    <w:rsid w:val="003201B7"/>
    <w:rsid w:val="00320BD8"/>
    <w:rsid w:val="003E013B"/>
    <w:rsid w:val="005B60C4"/>
    <w:rsid w:val="00A24EDD"/>
    <w:rsid w:val="00A25F6D"/>
    <w:rsid w:val="00B30377"/>
    <w:rsid w:val="00CF7A6E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C4"/>
    <w:pPr>
      <w:spacing w:before="100" w:beforeAutospacing="1" w:after="100" w:afterAutospacing="1"/>
    </w:pPr>
    <w:rPr>
      <w:lang w:val="ru-RU" w:eastAsia="ru-RU"/>
    </w:rPr>
  </w:style>
  <w:style w:type="character" w:customStyle="1" w:styleId="Default">
    <w:name w:val="Default Знак Знак Знак"/>
    <w:link w:val="Default0"/>
    <w:locked/>
    <w:rsid w:val="005B60C4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5B60C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semiHidden/>
    <w:rsid w:val="005B60C4"/>
    <w:pPr>
      <w:widowControl w:val="0"/>
      <w:suppressAutoHyphens/>
      <w:spacing w:after="0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60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60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2D6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C4"/>
    <w:pPr>
      <w:spacing w:before="100" w:beforeAutospacing="1" w:after="100" w:afterAutospacing="1"/>
    </w:pPr>
    <w:rPr>
      <w:lang w:val="ru-RU" w:eastAsia="ru-RU"/>
    </w:rPr>
  </w:style>
  <w:style w:type="character" w:customStyle="1" w:styleId="Default">
    <w:name w:val="Default Знак Знак Знак"/>
    <w:link w:val="Default0"/>
    <w:locked/>
    <w:rsid w:val="005B60C4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5B60C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semiHidden/>
    <w:rsid w:val="005B60C4"/>
    <w:pPr>
      <w:widowControl w:val="0"/>
      <w:suppressAutoHyphens/>
      <w:spacing w:after="0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60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60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2D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2011-02-21T17:57:00Z</dcterms:created>
  <dcterms:modified xsi:type="dcterms:W3CDTF">2011-02-23T17:25:00Z</dcterms:modified>
</cp:coreProperties>
</file>